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F" w:rsidRDefault="007D20FF" w:rsidP="00AF3AE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9BCED5" wp14:editId="505A79E0">
            <wp:simplePos x="0" y="0"/>
            <wp:positionH relativeFrom="column">
              <wp:posOffset>4286885</wp:posOffset>
            </wp:positionH>
            <wp:positionV relativeFrom="paragraph">
              <wp:posOffset>-859790</wp:posOffset>
            </wp:positionV>
            <wp:extent cx="2190750" cy="626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0" t="24434" r="15370" b="7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E7864" wp14:editId="50CD817F">
                <wp:simplePos x="0" y="0"/>
                <wp:positionH relativeFrom="column">
                  <wp:posOffset>4507170</wp:posOffset>
                </wp:positionH>
                <wp:positionV relativeFrom="paragraph">
                  <wp:posOffset>245745</wp:posOffset>
                </wp:positionV>
                <wp:extent cx="10287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FF" w:rsidRPr="00DB57A0" w:rsidRDefault="007D20FF" w:rsidP="00F13DA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  <w:t>T +44 (0)1926 653000</w:t>
                            </w:r>
                          </w:p>
                          <w:p w:rsidR="007D20FF" w:rsidRPr="00DB57A0" w:rsidRDefault="007D20FF" w:rsidP="00DB57A0">
                            <w:pPr>
                              <w:rPr>
                                <w:color w:val="808080"/>
                              </w:rPr>
                            </w:pPr>
                            <w:r w:rsidRPr="00DB57A0">
                              <w:rPr>
                                <w:rFonts w:ascii="Arial" w:hAnsi="Arial" w:cs="Arial"/>
                                <w:color w:val="808080"/>
                                <w:sz w:val="14"/>
                                <w:lang w:val="fr-FR"/>
                              </w:rPr>
                              <w:t>ww.nationalgrid.com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9pt;margin-top:19.35pt;width:8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fk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gyiZB2CqwBbPwxjWNgTNjrcHpc07Jntk&#10;FzlW0HmHTnd32kyuRxcbTMiSdx2c06wTzw4AczqB2HDV2mwWrpk/0iBdJauEeCSarTwSFIV3Uy6J&#10;NyvDeVxcFstlEf60cUOStbyumbBhjsIKyZ817iDxSRInaWnZ8drC2ZS02qyXnUI7CsIu3XcoyJmb&#10;/zwNVy/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" filled="f" stroked="f">
                <v:textbox>
                  <w:txbxContent>
                    <w:p w:rsidR="007D20FF" w:rsidRPr="00DB57A0" w:rsidRDefault="007D20FF" w:rsidP="00F13DAC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513"/>
                          <w:tab w:val="left" w:pos="8162"/>
                        </w:tabs>
                        <w:spacing w:after="0" w:line="240" w:lineRule="auto"/>
                        <w:ind w:left="-28" w:right="-1055"/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</w:pPr>
                      <w:r w:rsidRPr="00DB57A0"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  <w:t>T +44 (0)1926 653000</w:t>
                      </w:r>
                    </w:p>
                    <w:p w:rsidR="007D20FF" w:rsidRPr="00DB57A0" w:rsidRDefault="007D20FF" w:rsidP="00DB57A0">
                      <w:pPr>
                        <w:rPr>
                          <w:color w:val="808080"/>
                        </w:rPr>
                      </w:pPr>
                      <w:r w:rsidRPr="00DB57A0">
                        <w:rPr>
                          <w:rFonts w:ascii="Arial" w:hAnsi="Arial" w:cs="Arial"/>
                          <w:color w:val="808080"/>
                          <w:sz w:val="14"/>
                          <w:lang w:val="fr-FR"/>
                        </w:rPr>
                        <w:t>ww.nationalgrid.com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D7ED" wp14:editId="1D81836E">
                <wp:simplePos x="0" y="0"/>
                <wp:positionH relativeFrom="column">
                  <wp:posOffset>4572000</wp:posOffset>
                </wp:positionH>
                <wp:positionV relativeFrom="paragraph">
                  <wp:posOffset>-235070</wp:posOffset>
                </wp:positionV>
                <wp:extent cx="10287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-7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20"/>
                              <w:gridCol w:w="4420"/>
                            </w:tblGrid>
                            <w:tr w:rsidR="007D20FF" w:rsidRPr="00DA14B2" w:rsidTr="00E85A91">
                              <w:trPr>
                                <w:trHeight w:val="1284"/>
                              </w:trPr>
                              <w:tc>
                                <w:tcPr>
                                  <w:tcW w:w="1739" w:type="dxa"/>
                                </w:tcPr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National Grid House</w:t>
                                  </w:r>
                                </w:p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Warwick Technology Park</w:t>
                                  </w:r>
                                </w:p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Gallows Hill, Warwick</w:t>
                                  </w:r>
                                </w:p>
                                <w:p w:rsidR="007D20FF" w:rsidRPr="00E17207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Helvetica 45 Light" w:eastAsia="Times New Roman" w:hAnsi="Helvetica 45 Light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CV34 6DA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28"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T +44 (0)1926 653000</w:t>
                                  </w:r>
                                </w:p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28"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F +44 (0)1926 654378</w:t>
                                  </w:r>
                                </w:p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ww.nationalgrid.com</w:t>
                                  </w:r>
                                </w:p>
                              </w:tc>
                            </w:tr>
                          </w:tbl>
                          <w:p w:rsidR="007D20FF" w:rsidRPr="008541C3" w:rsidRDefault="007D20F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in;margin-top:-18.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pq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iJJ5AKYKbPE8jGF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" filled="f" stroked="f">
                <v:textbox>
                  <w:txbxContent>
                    <w:tbl>
                      <w:tblPr>
                        <w:tblW w:w="9540" w:type="dxa"/>
                        <w:tblInd w:w="-7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20"/>
                        <w:gridCol w:w="4420"/>
                      </w:tblGrid>
                      <w:tr w:rsidR="007D20FF" w:rsidRPr="00DA14B2" w:rsidTr="00E85A91">
                        <w:trPr>
                          <w:trHeight w:val="1284"/>
                        </w:trPr>
                        <w:tc>
                          <w:tcPr>
                            <w:tcW w:w="1739" w:type="dxa"/>
                          </w:tcPr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National Grid House</w:t>
                            </w:r>
                          </w:p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Warwick Technology Park</w:t>
                            </w:r>
                          </w:p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Gallows Hill, Warwick</w:t>
                            </w:r>
                          </w:p>
                          <w:p w:rsidR="007D20FF" w:rsidRPr="00E17207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Helvetica 45 Light" w:eastAsia="Times New Roman" w:hAnsi="Helvetica 45 Light"/>
                                <w:sz w:val="14"/>
                                <w:szCs w:val="22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CV34 6DA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T +44 (0)1926 653000</w:t>
                            </w:r>
                          </w:p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F +44 (0)1926 654378</w:t>
                            </w:r>
                          </w:p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ww.nationalgrid.com</w:t>
                            </w:r>
                          </w:p>
                        </w:tc>
                      </w:tr>
                    </w:tbl>
                    <w:p w:rsidR="007D20FF" w:rsidRPr="008541C3" w:rsidRDefault="007D20F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0FF" w:rsidRDefault="007D20FF" w:rsidP="00AF3AEA"/>
    <w:p w:rsidR="00EF2917" w:rsidRPr="00EF2917" w:rsidRDefault="0022374E" w:rsidP="00EF2917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 w:rsidR="00A20F20">
        <w:rPr>
          <w:b/>
          <w:sz w:val="20"/>
          <w:szCs w:val="20"/>
          <w:u w:val="single"/>
        </w:rPr>
        <w:t>apacity</w:t>
      </w:r>
      <w:r>
        <w:rPr>
          <w:b/>
          <w:sz w:val="20"/>
          <w:szCs w:val="20"/>
          <w:u w:val="single"/>
        </w:rPr>
        <w:t xml:space="preserve"> A</w:t>
      </w:r>
      <w:r w:rsidR="00A20F20">
        <w:rPr>
          <w:b/>
          <w:sz w:val="20"/>
          <w:szCs w:val="20"/>
          <w:u w:val="single"/>
        </w:rPr>
        <w:t>llocation</w:t>
      </w:r>
      <w:r>
        <w:rPr>
          <w:b/>
          <w:sz w:val="20"/>
          <w:szCs w:val="20"/>
          <w:u w:val="single"/>
        </w:rPr>
        <w:t xml:space="preserve"> M</w:t>
      </w:r>
      <w:r w:rsidR="00A20F20">
        <w:rPr>
          <w:b/>
          <w:sz w:val="20"/>
          <w:szCs w:val="20"/>
          <w:u w:val="single"/>
        </w:rPr>
        <w:t>echanism</w:t>
      </w:r>
      <w:r>
        <w:rPr>
          <w:b/>
          <w:sz w:val="20"/>
          <w:szCs w:val="20"/>
          <w:u w:val="single"/>
        </w:rPr>
        <w:t xml:space="preserve"> (</w:t>
      </w:r>
      <w:r w:rsidR="00EF2917" w:rsidRPr="00EF2917">
        <w:rPr>
          <w:b/>
          <w:sz w:val="20"/>
          <w:szCs w:val="20"/>
          <w:u w:val="single"/>
        </w:rPr>
        <w:t>CAM</w:t>
      </w:r>
      <w:r>
        <w:rPr>
          <w:b/>
          <w:sz w:val="20"/>
          <w:szCs w:val="20"/>
          <w:u w:val="single"/>
        </w:rPr>
        <w:t>)</w:t>
      </w:r>
      <w:r w:rsidR="00A20F20">
        <w:rPr>
          <w:b/>
          <w:sz w:val="20"/>
          <w:szCs w:val="20"/>
          <w:u w:val="single"/>
        </w:rPr>
        <w:t xml:space="preserve"> </w:t>
      </w:r>
      <w:r w:rsidR="00EF2917" w:rsidRPr="00EF2917">
        <w:rPr>
          <w:b/>
          <w:sz w:val="20"/>
          <w:szCs w:val="20"/>
          <w:u w:val="single"/>
        </w:rPr>
        <w:t>A</w:t>
      </w:r>
      <w:r w:rsidR="00A20F20">
        <w:rPr>
          <w:b/>
          <w:sz w:val="20"/>
          <w:szCs w:val="20"/>
          <w:u w:val="single"/>
        </w:rPr>
        <w:t>mendment</w:t>
      </w:r>
    </w:p>
    <w:p w:rsidR="00EF2917" w:rsidRPr="00EF2917" w:rsidRDefault="00A20F20" w:rsidP="00EF2917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Alternative Allocation Mechanism (AAM) and Planning and Advanced Reservation of Capacity Agreements for Interconnection Points (IP PARCA)</w:t>
      </w:r>
    </w:p>
    <w:p w:rsidR="00EF2917" w:rsidRPr="00EF2917" w:rsidRDefault="00A20F20" w:rsidP="00EF2917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21</w:t>
      </w:r>
      <w:r>
        <w:rPr>
          <w:rFonts w:cstheme="minorHAnsi"/>
          <w:b/>
          <w:sz w:val="20"/>
          <w:szCs w:val="20"/>
          <w:u w:val="single"/>
          <w:vertAlign w:val="superscript"/>
        </w:rPr>
        <w:t>st</w:t>
      </w:r>
      <w:r w:rsidR="00EF2917">
        <w:rPr>
          <w:rFonts w:cstheme="minorHAnsi"/>
          <w:b/>
          <w:sz w:val="20"/>
          <w:szCs w:val="20"/>
          <w:u w:val="single"/>
        </w:rPr>
        <w:t xml:space="preserve"> </w:t>
      </w:r>
      <w:r w:rsidR="009B6BAC">
        <w:rPr>
          <w:rFonts w:cstheme="minorHAnsi"/>
          <w:b/>
          <w:caps/>
          <w:sz w:val="20"/>
          <w:szCs w:val="20"/>
          <w:u w:val="single"/>
        </w:rPr>
        <w:t>April</w:t>
      </w:r>
      <w:r w:rsidR="00EF2917">
        <w:rPr>
          <w:rFonts w:cstheme="minorHAnsi"/>
          <w:b/>
          <w:caps/>
          <w:sz w:val="20"/>
          <w:szCs w:val="20"/>
          <w:u w:val="single"/>
        </w:rPr>
        <w:t xml:space="preserve"> 2017</w:t>
      </w:r>
    </w:p>
    <w:p w:rsidR="005F5B6C" w:rsidRDefault="005F5B6C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062E1" w:rsidRDefault="00D062E1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F2917" w:rsidRDefault="00EF2917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5B6C" w:rsidRPr="0085322D" w:rsidRDefault="005F5B6C" w:rsidP="005F5B6C">
      <w:pPr>
        <w:rPr>
          <w:rFonts w:ascii="Calibri" w:hAnsi="Calibri" w:cs="Calibri"/>
          <w:sz w:val="20"/>
          <w:szCs w:val="20"/>
        </w:rPr>
      </w:pPr>
      <w:r w:rsidRPr="0085322D">
        <w:rPr>
          <w:rFonts w:ascii="Calibri" w:hAnsi="Calibri" w:cs="Calibri"/>
          <w:sz w:val="20"/>
          <w:szCs w:val="20"/>
        </w:rPr>
        <w:t>Dear Industry Colleague,</w:t>
      </w:r>
    </w:p>
    <w:p w:rsidR="00507357" w:rsidRDefault="00933715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 amendment to the EU network code on CAM took effect from the 6</w:t>
      </w:r>
      <w:r w:rsidRPr="00933715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April 2017 earlier this year. As part of the GB implementation of these amendments</w:t>
      </w:r>
      <w:r w:rsidR="00507357">
        <w:rPr>
          <w:rFonts w:ascii="Calibri" w:hAnsi="Calibri" w:cs="Calibri"/>
          <w:sz w:val="20"/>
          <w:szCs w:val="20"/>
        </w:rPr>
        <w:t xml:space="preserve"> to CAM,</w:t>
      </w:r>
      <w:r>
        <w:rPr>
          <w:rFonts w:ascii="Calibri" w:hAnsi="Calibri" w:cs="Calibri"/>
          <w:sz w:val="20"/>
          <w:szCs w:val="20"/>
        </w:rPr>
        <w:t xml:space="preserve"> National Grid</w:t>
      </w:r>
      <w:r w:rsidR="00507357">
        <w:rPr>
          <w:rFonts w:ascii="Calibri" w:hAnsi="Calibri" w:cs="Calibri"/>
          <w:sz w:val="20"/>
          <w:szCs w:val="20"/>
        </w:rPr>
        <w:t xml:space="preserve"> NTS</w:t>
      </w:r>
      <w:r>
        <w:rPr>
          <w:rFonts w:ascii="Calibri" w:hAnsi="Calibri" w:cs="Calibri"/>
          <w:sz w:val="20"/>
          <w:szCs w:val="20"/>
        </w:rPr>
        <w:t xml:space="preserve"> raised UNC modification 0597</w:t>
      </w:r>
      <w:r w:rsidR="00730B69">
        <w:rPr>
          <w:rStyle w:val="FootnoteReference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which added in a new Section E to the European Interconnection Document (EID) within the Uniform Network Code (UNC). This </w:t>
      </w:r>
      <w:r w:rsidR="00507357">
        <w:rPr>
          <w:rFonts w:ascii="Calibri" w:hAnsi="Calibri" w:cs="Calibri"/>
          <w:sz w:val="20"/>
          <w:szCs w:val="20"/>
        </w:rPr>
        <w:t xml:space="preserve">new </w:t>
      </w:r>
      <w:r>
        <w:rPr>
          <w:rFonts w:ascii="Calibri" w:hAnsi="Calibri" w:cs="Calibri"/>
          <w:sz w:val="20"/>
          <w:szCs w:val="20"/>
        </w:rPr>
        <w:t xml:space="preserve">section introduced ‘Rules for the Release of Incremental Capacity at Interconnection Points’. </w:t>
      </w:r>
      <w:r w:rsidR="00507357">
        <w:rPr>
          <w:rFonts w:ascii="Calibri" w:hAnsi="Calibri" w:cs="Calibri"/>
          <w:sz w:val="20"/>
          <w:szCs w:val="20"/>
        </w:rPr>
        <w:t xml:space="preserve">Additionally National Grid has proposed </w:t>
      </w:r>
      <w:r w:rsidR="00617B0C">
        <w:rPr>
          <w:rFonts w:ascii="Calibri" w:hAnsi="Calibri" w:cs="Calibri"/>
          <w:sz w:val="20"/>
          <w:szCs w:val="20"/>
        </w:rPr>
        <w:t xml:space="preserve">EU </w:t>
      </w:r>
      <w:r w:rsidR="00507357">
        <w:rPr>
          <w:rFonts w:ascii="Calibri" w:hAnsi="Calibri" w:cs="Calibri"/>
          <w:sz w:val="20"/>
          <w:szCs w:val="20"/>
        </w:rPr>
        <w:t>updates to the Capacity Methodology Statements, and these are currently undergoing consultation</w:t>
      </w:r>
      <w:r w:rsidR="00507357">
        <w:rPr>
          <w:rStyle w:val="FootnoteReference"/>
          <w:rFonts w:ascii="Calibri" w:hAnsi="Calibri" w:cs="Calibri"/>
          <w:sz w:val="20"/>
          <w:szCs w:val="20"/>
        </w:rPr>
        <w:footnoteReference w:id="2"/>
      </w:r>
      <w:r w:rsidR="00507357">
        <w:rPr>
          <w:rFonts w:ascii="Calibri" w:hAnsi="Calibri" w:cs="Calibri"/>
          <w:sz w:val="20"/>
          <w:szCs w:val="20"/>
        </w:rPr>
        <w:t>.</w:t>
      </w:r>
    </w:p>
    <w:p w:rsidR="00EF2917" w:rsidRDefault="00231417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 Grid</w:t>
      </w:r>
      <w:r w:rsidR="00933715">
        <w:rPr>
          <w:rFonts w:ascii="Calibri" w:hAnsi="Calibri" w:cs="Calibri"/>
          <w:sz w:val="20"/>
          <w:szCs w:val="20"/>
        </w:rPr>
        <w:t xml:space="preserve"> NTS</w:t>
      </w:r>
      <w:r>
        <w:rPr>
          <w:rFonts w:ascii="Calibri" w:hAnsi="Calibri" w:cs="Calibri"/>
          <w:sz w:val="20"/>
          <w:szCs w:val="20"/>
        </w:rPr>
        <w:t xml:space="preserve"> is issuing this notice</w:t>
      </w:r>
      <w:r w:rsidR="00A20F20">
        <w:rPr>
          <w:rFonts w:ascii="Calibri" w:hAnsi="Calibri" w:cs="Calibri"/>
          <w:sz w:val="20"/>
          <w:szCs w:val="20"/>
        </w:rPr>
        <w:t xml:space="preserve"> to share further documents regarding the commercial framework for the release of incremental capacity at interconnection points.</w:t>
      </w:r>
      <w:r w:rsidR="00EF2917" w:rsidRPr="0085322D">
        <w:rPr>
          <w:rFonts w:ascii="Calibri" w:hAnsi="Calibri" w:cs="Calibri"/>
          <w:sz w:val="20"/>
          <w:szCs w:val="20"/>
        </w:rPr>
        <w:t xml:space="preserve"> </w:t>
      </w:r>
      <w:r w:rsidR="00507357">
        <w:rPr>
          <w:rFonts w:ascii="Calibri" w:hAnsi="Calibri" w:cs="Calibri"/>
          <w:sz w:val="20"/>
          <w:szCs w:val="20"/>
        </w:rPr>
        <w:t xml:space="preserve">This is </w:t>
      </w:r>
      <w:r w:rsidR="00730B69">
        <w:rPr>
          <w:rFonts w:ascii="Calibri" w:hAnsi="Calibri" w:cs="Calibri"/>
          <w:sz w:val="20"/>
          <w:szCs w:val="20"/>
        </w:rPr>
        <w:t xml:space="preserve">as agreed from the </w:t>
      </w:r>
      <w:r w:rsidR="00507357">
        <w:rPr>
          <w:rFonts w:ascii="Calibri" w:hAnsi="Calibri" w:cs="Calibri"/>
          <w:sz w:val="20"/>
          <w:szCs w:val="20"/>
        </w:rPr>
        <w:t>development workgroup</w:t>
      </w:r>
      <w:r w:rsidR="00730B69">
        <w:rPr>
          <w:rFonts w:ascii="Calibri" w:hAnsi="Calibri" w:cs="Calibri"/>
          <w:sz w:val="20"/>
          <w:szCs w:val="20"/>
        </w:rPr>
        <w:t xml:space="preserve"> for modification 0597</w:t>
      </w:r>
      <w:r w:rsidR="00507357">
        <w:rPr>
          <w:rFonts w:ascii="Calibri" w:hAnsi="Calibri" w:cs="Calibri"/>
          <w:sz w:val="20"/>
          <w:szCs w:val="20"/>
        </w:rPr>
        <w:t xml:space="preserve">. </w:t>
      </w:r>
      <w:r w:rsidR="00A20F20">
        <w:rPr>
          <w:rFonts w:ascii="Calibri" w:hAnsi="Calibri" w:cs="Calibri"/>
          <w:sz w:val="20"/>
          <w:szCs w:val="20"/>
        </w:rPr>
        <w:t>These documents are</w:t>
      </w:r>
      <w:r w:rsidR="009B6BAC">
        <w:rPr>
          <w:rFonts w:ascii="Calibri" w:hAnsi="Calibri" w:cs="Calibri"/>
          <w:sz w:val="20"/>
          <w:szCs w:val="20"/>
        </w:rPr>
        <w:t>:</w:t>
      </w:r>
    </w:p>
    <w:p w:rsidR="00A20F20" w:rsidRDefault="00A20F20" w:rsidP="00A20F2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template for the Alternative Allocation Mech</w:t>
      </w:r>
      <w:r w:rsidR="00620CFC">
        <w:rPr>
          <w:rFonts w:ascii="Calibri" w:hAnsi="Calibri" w:cs="Calibri"/>
          <w:sz w:val="20"/>
          <w:szCs w:val="20"/>
        </w:rPr>
        <w:t>anism (AAM) rules</w:t>
      </w:r>
      <w:r>
        <w:rPr>
          <w:rFonts w:ascii="Calibri" w:hAnsi="Calibri" w:cs="Calibri"/>
          <w:sz w:val="20"/>
          <w:szCs w:val="20"/>
        </w:rPr>
        <w:t>.</w:t>
      </w:r>
    </w:p>
    <w:p w:rsidR="00A20F20" w:rsidRPr="00A20F20" w:rsidRDefault="00A20F20" w:rsidP="00A20F2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template for the IP PARCA contract.</w:t>
      </w:r>
    </w:p>
    <w:p w:rsidR="0046322C" w:rsidRDefault="00A20F20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use of an </w:t>
      </w:r>
      <w:r w:rsidR="00620CFC">
        <w:rPr>
          <w:rFonts w:ascii="Calibri" w:hAnsi="Calibri" w:cs="Calibri"/>
          <w:sz w:val="20"/>
          <w:szCs w:val="20"/>
        </w:rPr>
        <w:t>Alternative A</w:t>
      </w:r>
      <w:r>
        <w:rPr>
          <w:rFonts w:ascii="Calibri" w:hAnsi="Calibri" w:cs="Calibri"/>
          <w:sz w:val="20"/>
          <w:szCs w:val="20"/>
        </w:rPr>
        <w:t xml:space="preserve">llocation </w:t>
      </w:r>
      <w:r w:rsidR="00620CFC"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 xml:space="preserve">echanism is </w:t>
      </w:r>
      <w:r w:rsidR="00620CFC">
        <w:rPr>
          <w:rFonts w:ascii="Calibri" w:hAnsi="Calibri" w:cs="Calibri"/>
          <w:sz w:val="20"/>
          <w:szCs w:val="20"/>
        </w:rPr>
        <w:t>allowed under CAM</w:t>
      </w:r>
      <w:r w:rsidR="00231417">
        <w:rPr>
          <w:rFonts w:ascii="Calibri" w:hAnsi="Calibri" w:cs="Calibri"/>
          <w:sz w:val="20"/>
          <w:szCs w:val="20"/>
        </w:rPr>
        <w:t>,</w:t>
      </w:r>
      <w:r w:rsidR="00620CFC">
        <w:rPr>
          <w:rFonts w:ascii="Calibri" w:hAnsi="Calibri" w:cs="Calibri"/>
          <w:sz w:val="20"/>
          <w:szCs w:val="20"/>
        </w:rPr>
        <w:t xml:space="preserve"> and is </w:t>
      </w:r>
      <w:r>
        <w:rPr>
          <w:rFonts w:ascii="Calibri" w:hAnsi="Calibri" w:cs="Calibri"/>
          <w:sz w:val="20"/>
          <w:szCs w:val="20"/>
        </w:rPr>
        <w:t>envisioned under Section E</w:t>
      </w:r>
      <w:r w:rsidR="0046322C">
        <w:rPr>
          <w:rFonts w:ascii="Calibri" w:hAnsi="Calibri" w:cs="Calibri"/>
          <w:sz w:val="20"/>
          <w:szCs w:val="20"/>
        </w:rPr>
        <w:t>5.1.1</w:t>
      </w:r>
      <w:r w:rsidR="00507357">
        <w:rPr>
          <w:rFonts w:ascii="Calibri" w:hAnsi="Calibri" w:cs="Calibri"/>
          <w:sz w:val="20"/>
          <w:szCs w:val="20"/>
        </w:rPr>
        <w:t xml:space="preserve"> of the </w:t>
      </w:r>
      <w:r w:rsidR="0046322C">
        <w:rPr>
          <w:rFonts w:ascii="Calibri" w:hAnsi="Calibri" w:cs="Calibri"/>
          <w:sz w:val="20"/>
          <w:szCs w:val="20"/>
        </w:rPr>
        <w:t>EID</w:t>
      </w:r>
      <w:r w:rsidR="00507357">
        <w:rPr>
          <w:rFonts w:ascii="Calibri" w:hAnsi="Calibri" w:cs="Calibri"/>
          <w:sz w:val="20"/>
          <w:szCs w:val="20"/>
        </w:rPr>
        <w:t>.</w:t>
      </w:r>
      <w:r w:rsidR="0046322C">
        <w:rPr>
          <w:rFonts w:ascii="Calibri" w:hAnsi="Calibri" w:cs="Calibri"/>
          <w:sz w:val="20"/>
          <w:szCs w:val="20"/>
        </w:rPr>
        <w:t xml:space="preserve"> </w:t>
      </w:r>
      <w:r w:rsidR="009B6BAC">
        <w:rPr>
          <w:rFonts w:ascii="Calibri" w:hAnsi="Calibri" w:cs="Calibri"/>
          <w:sz w:val="20"/>
          <w:szCs w:val="20"/>
        </w:rPr>
        <w:t>The AAM</w:t>
      </w:r>
      <w:r w:rsidR="0046322C">
        <w:rPr>
          <w:rFonts w:ascii="Calibri" w:hAnsi="Calibri" w:cs="Calibri"/>
          <w:sz w:val="20"/>
          <w:szCs w:val="20"/>
        </w:rPr>
        <w:t xml:space="preserve"> template provided here describes how the current PARCA process wo</w:t>
      </w:r>
      <w:r w:rsidR="009B6BAC">
        <w:rPr>
          <w:rFonts w:ascii="Calibri" w:hAnsi="Calibri" w:cs="Calibri"/>
          <w:sz w:val="20"/>
          <w:szCs w:val="20"/>
        </w:rPr>
        <w:t>uld be amended to enable the continued use of PARCA</w:t>
      </w:r>
      <w:r w:rsidR="0046322C">
        <w:rPr>
          <w:rFonts w:ascii="Calibri" w:hAnsi="Calibri" w:cs="Calibri"/>
          <w:sz w:val="20"/>
          <w:szCs w:val="20"/>
        </w:rPr>
        <w:t xml:space="preserve"> as part </w:t>
      </w:r>
      <w:r w:rsidR="009B6BAC">
        <w:rPr>
          <w:rFonts w:ascii="Calibri" w:hAnsi="Calibri" w:cs="Calibri"/>
          <w:sz w:val="20"/>
          <w:szCs w:val="20"/>
        </w:rPr>
        <w:t xml:space="preserve">of the CAM incremental process. </w:t>
      </w:r>
      <w:r w:rsidR="0046322C">
        <w:rPr>
          <w:rFonts w:ascii="Calibri" w:hAnsi="Calibri" w:cs="Calibri"/>
          <w:sz w:val="20"/>
          <w:szCs w:val="20"/>
        </w:rPr>
        <w:t>The IP PARCA contract is an updated version of the current PARCA contract</w:t>
      </w:r>
      <w:r w:rsidR="00231417">
        <w:rPr>
          <w:rFonts w:ascii="Calibri" w:hAnsi="Calibri" w:cs="Calibri"/>
          <w:sz w:val="20"/>
          <w:szCs w:val="20"/>
        </w:rPr>
        <w:t>,</w:t>
      </w:r>
      <w:r w:rsidR="009B6BAC">
        <w:rPr>
          <w:rFonts w:ascii="Calibri" w:hAnsi="Calibri" w:cs="Calibri"/>
          <w:sz w:val="20"/>
          <w:szCs w:val="20"/>
        </w:rPr>
        <w:t xml:space="preserve"> specifically for Interconnection Points</w:t>
      </w:r>
      <w:r w:rsidR="0046322C">
        <w:rPr>
          <w:rFonts w:ascii="Calibri" w:hAnsi="Calibri" w:cs="Calibri"/>
          <w:sz w:val="20"/>
          <w:szCs w:val="20"/>
        </w:rPr>
        <w:t>, that contains the terms and conditions that the reservation party a</w:t>
      </w:r>
      <w:r w:rsidR="00507357">
        <w:rPr>
          <w:rFonts w:ascii="Calibri" w:hAnsi="Calibri" w:cs="Calibri"/>
          <w:sz w:val="20"/>
          <w:szCs w:val="20"/>
        </w:rPr>
        <w:t>nd National Grid would agree to prior to allocation of the capacity.</w:t>
      </w:r>
    </w:p>
    <w:p w:rsidR="009B6BAC" w:rsidRDefault="0046322C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Note that these documents are </w:t>
      </w:r>
      <w:r w:rsidRPr="00933715">
        <w:rPr>
          <w:rFonts w:ascii="Calibri" w:hAnsi="Calibri" w:cs="Calibri"/>
          <w:sz w:val="20"/>
          <w:szCs w:val="20"/>
          <w:u w:val="single"/>
        </w:rPr>
        <w:t>not formally part of the consultation on the Capacity Methodology Statements</w:t>
      </w:r>
      <w:r>
        <w:rPr>
          <w:rFonts w:ascii="Calibri" w:hAnsi="Calibri" w:cs="Calibri"/>
          <w:sz w:val="20"/>
          <w:szCs w:val="20"/>
        </w:rPr>
        <w:t xml:space="preserve"> </w:t>
      </w:r>
      <w:r w:rsidR="00231417">
        <w:rPr>
          <w:rFonts w:ascii="Calibri" w:hAnsi="Calibri" w:cs="Calibri"/>
          <w:sz w:val="20"/>
          <w:szCs w:val="20"/>
        </w:rPr>
        <w:t xml:space="preserve">that was launched last week, </w:t>
      </w:r>
      <w:r>
        <w:rPr>
          <w:rFonts w:ascii="Calibri" w:hAnsi="Calibri" w:cs="Calibri"/>
          <w:sz w:val="20"/>
          <w:szCs w:val="20"/>
        </w:rPr>
        <w:t xml:space="preserve">but National Grid recognises there </w:t>
      </w:r>
      <w:r w:rsidR="009B6BAC">
        <w:rPr>
          <w:rFonts w:ascii="Calibri" w:hAnsi="Calibri" w:cs="Calibri"/>
          <w:sz w:val="20"/>
          <w:szCs w:val="20"/>
        </w:rPr>
        <w:t>is a large degree of overlap with t</w:t>
      </w:r>
      <w:r w:rsidR="00620CFC">
        <w:rPr>
          <w:rFonts w:ascii="Calibri" w:hAnsi="Calibri" w:cs="Calibri"/>
          <w:sz w:val="20"/>
          <w:szCs w:val="20"/>
        </w:rPr>
        <w:t>he Methodologies and they should</w:t>
      </w:r>
      <w:r w:rsidR="009B6BAC">
        <w:rPr>
          <w:rFonts w:ascii="Calibri" w:hAnsi="Calibri" w:cs="Calibri"/>
          <w:sz w:val="20"/>
          <w:szCs w:val="20"/>
        </w:rPr>
        <w:t xml:space="preserve"> be viewed together to form a full picture of the process. National Grid</w:t>
      </w:r>
      <w:r w:rsidR="00933715">
        <w:rPr>
          <w:rFonts w:ascii="Calibri" w:hAnsi="Calibri" w:cs="Calibri"/>
          <w:sz w:val="20"/>
          <w:szCs w:val="20"/>
        </w:rPr>
        <w:t xml:space="preserve"> NTS</w:t>
      </w:r>
      <w:r w:rsidR="009B6BAC">
        <w:rPr>
          <w:rFonts w:ascii="Calibri" w:hAnsi="Calibri" w:cs="Calibri"/>
          <w:sz w:val="20"/>
          <w:szCs w:val="20"/>
        </w:rPr>
        <w:t xml:space="preserve"> welcomes feedback on these </w:t>
      </w:r>
      <w:r w:rsidR="00620CFC">
        <w:rPr>
          <w:rFonts w:ascii="Calibri" w:hAnsi="Calibri" w:cs="Calibri"/>
          <w:sz w:val="20"/>
          <w:szCs w:val="20"/>
        </w:rPr>
        <w:t>documents in addition to the Capacity Methodology Statements.</w:t>
      </w:r>
      <w:r w:rsidR="00933715">
        <w:rPr>
          <w:rFonts w:ascii="Calibri" w:hAnsi="Calibri" w:cs="Calibri"/>
          <w:sz w:val="20"/>
          <w:szCs w:val="20"/>
        </w:rPr>
        <w:t xml:space="preserve"> For feedback regarding the AAM and IP PARCA documents please use the contact details below.</w:t>
      </w:r>
    </w:p>
    <w:p w:rsidR="0085322D" w:rsidRDefault="009B6BAC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also note that in the event of an incremental project being launched at an Interconnection Point, </w:t>
      </w:r>
      <w:proofErr w:type="gramStart"/>
      <w:r>
        <w:rPr>
          <w:rFonts w:ascii="Calibri" w:hAnsi="Calibri" w:cs="Calibri"/>
          <w:sz w:val="20"/>
          <w:szCs w:val="20"/>
        </w:rPr>
        <w:t>then</w:t>
      </w:r>
      <w:proofErr w:type="gramEnd"/>
      <w:r>
        <w:rPr>
          <w:rFonts w:ascii="Calibri" w:hAnsi="Calibri" w:cs="Calibri"/>
          <w:sz w:val="20"/>
          <w:szCs w:val="20"/>
        </w:rPr>
        <w:t xml:space="preserve"> both the AAM and IP PARCA documents will be formally consulted upon prior to being submitted for Regulator approval.</w:t>
      </w:r>
    </w:p>
    <w:p w:rsidR="00507357" w:rsidRDefault="00507357" w:rsidP="00EF29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summary of the </w:t>
      </w:r>
      <w:r w:rsidR="0033133F">
        <w:rPr>
          <w:rFonts w:ascii="Calibri" w:hAnsi="Calibri" w:cs="Calibri"/>
          <w:sz w:val="20"/>
          <w:szCs w:val="20"/>
        </w:rPr>
        <w:t xml:space="preserve">main </w:t>
      </w:r>
      <w:r>
        <w:rPr>
          <w:rFonts w:ascii="Calibri" w:hAnsi="Calibri" w:cs="Calibri"/>
          <w:sz w:val="20"/>
          <w:szCs w:val="20"/>
        </w:rPr>
        <w:t>changes to the current PARCA process that these documents propose is summarised below</w:t>
      </w:r>
      <w:r w:rsidR="00730B69">
        <w:rPr>
          <w:rFonts w:ascii="Calibri" w:hAnsi="Calibri" w:cs="Calibri"/>
          <w:sz w:val="20"/>
          <w:szCs w:val="20"/>
        </w:rPr>
        <w:t>:</w:t>
      </w:r>
    </w:p>
    <w:p w:rsidR="00507357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National Grid NTS deals with the condition precedent that creates a dependency on the outcome at another interconnection point (Multiple IP condition)</w:t>
      </w:r>
      <w:r w:rsidR="00BC2668">
        <w:rPr>
          <w:rFonts w:ascii="Calibri" w:hAnsi="Calibri" w:cs="Calibri"/>
          <w:sz w:val="20"/>
          <w:szCs w:val="20"/>
        </w:rPr>
        <w:t>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Added new definitions and updated terminology to reflect CAM IP process</w:t>
      </w:r>
      <w:r w:rsidR="00BC2668">
        <w:rPr>
          <w:rFonts w:ascii="Calibri" w:hAnsi="Calibri" w:cs="Calibri"/>
          <w:sz w:val="20"/>
          <w:szCs w:val="20"/>
        </w:rPr>
        <w:t>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National Grid NTS may deal with the requirement to withhold 10% of incremental capacity</w:t>
      </w:r>
      <w:r w:rsidR="00BC2668">
        <w:rPr>
          <w:rFonts w:ascii="Calibri" w:hAnsi="Calibri" w:cs="Calibri"/>
          <w:sz w:val="20"/>
          <w:szCs w:val="20"/>
        </w:rPr>
        <w:t>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Amendment to what counts as ‘day 1’ for the purposes of calculating the Termination Amount (changed from date of countersigning to date of reservation).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Flexibility added to dates (e.g. 28 days for countersigning contract) to allow for alignment with other TSOs involved in the project.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Removal of Capacity Tolerance (to avoid mismatch in technical capacities across the IPs)</w:t>
      </w:r>
      <w:r w:rsidR="00BC2668">
        <w:rPr>
          <w:rFonts w:ascii="Calibri" w:hAnsi="Calibri" w:cs="Calibri"/>
          <w:sz w:val="20"/>
          <w:szCs w:val="20"/>
        </w:rPr>
        <w:t>.</w:t>
      </w:r>
    </w:p>
    <w:p w:rsidR="00730B69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Added termination clause for if there is more than one reservation party.</w:t>
      </w:r>
    </w:p>
    <w:p w:rsidR="00730B69" w:rsidRPr="00507357" w:rsidRDefault="00730B69" w:rsidP="0050735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Added Confidentiality clause relating to projects involving multiple TSOs.</w:t>
      </w:r>
    </w:p>
    <w:p w:rsidR="00EF2917" w:rsidRPr="0085322D" w:rsidRDefault="00EF2917" w:rsidP="00EF2917">
      <w:pPr>
        <w:jc w:val="both"/>
        <w:rPr>
          <w:rFonts w:ascii="Calibri" w:hAnsi="Calibri" w:cs="Calibri"/>
          <w:sz w:val="20"/>
          <w:szCs w:val="20"/>
        </w:rPr>
      </w:pPr>
    </w:p>
    <w:p w:rsidR="005F5B6C" w:rsidRPr="0085322D" w:rsidRDefault="005F5B6C" w:rsidP="005F5B6C">
      <w:pPr>
        <w:pBdr>
          <w:bottom w:val="single" w:sz="12" w:space="1" w:color="auto"/>
        </w:pBdr>
        <w:rPr>
          <w:rFonts w:ascii="Calibri" w:hAnsi="Calibri" w:cs="Calibri"/>
          <w:sz w:val="20"/>
          <w:szCs w:val="20"/>
        </w:rPr>
      </w:pPr>
    </w:p>
    <w:p w:rsidR="0007220C" w:rsidRPr="0085322D" w:rsidRDefault="00AF3AEA" w:rsidP="00E216E0">
      <w:pPr>
        <w:spacing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85322D">
        <w:rPr>
          <w:rFonts w:ascii="Calibri" w:hAnsi="Calibri" w:cs="Calibri"/>
          <w:sz w:val="20"/>
          <w:szCs w:val="20"/>
        </w:rPr>
        <w:t>Many thanks,</w:t>
      </w:r>
      <w:r w:rsidR="0007220C" w:rsidRPr="0085322D">
        <w:rPr>
          <w:rFonts w:ascii="Calibri" w:hAnsi="Calibri" w:cs="Calibri"/>
          <w:i/>
          <w:sz w:val="20"/>
          <w:szCs w:val="20"/>
        </w:rPr>
        <w:t xml:space="preserve"> </w:t>
      </w:r>
    </w:p>
    <w:p w:rsidR="00557C8A" w:rsidRDefault="009B6BAC" w:rsidP="00E216E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Malcolm Montgomery</w:t>
      </w:r>
    </w:p>
    <w:p w:rsidR="00F13DAC" w:rsidRPr="009B6BAC" w:rsidRDefault="00F13DAC" w:rsidP="00E216E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Gas Charging and Capacity Development</w:t>
      </w:r>
    </w:p>
    <w:p w:rsidR="00EE55E5" w:rsidRDefault="003F1E5E" w:rsidP="00E216E0">
      <w:pPr>
        <w:jc w:val="both"/>
      </w:pPr>
      <w:hyperlink r:id="rId10" w:history="1">
        <w:r w:rsidR="00E91023" w:rsidRPr="00254C2C">
          <w:rPr>
            <w:rStyle w:val="Hyperlink"/>
          </w:rPr>
          <w:t>Box.TransmissionCapacityandCharging@nationalgrid.com</w:t>
        </w:r>
      </w:hyperlink>
    </w:p>
    <w:p w:rsidR="00E91023" w:rsidRDefault="00E91023" w:rsidP="00E216E0">
      <w:pPr>
        <w:jc w:val="both"/>
      </w:pPr>
    </w:p>
    <w:p w:rsidR="00557C8A" w:rsidRPr="0085322D" w:rsidRDefault="00557C8A" w:rsidP="00E216E0">
      <w:pPr>
        <w:jc w:val="both"/>
        <w:rPr>
          <w:rFonts w:ascii="Arial" w:hAnsi="Arial" w:cs="Arial"/>
          <w:sz w:val="20"/>
          <w:szCs w:val="20"/>
        </w:rPr>
      </w:pPr>
    </w:p>
    <w:p w:rsidR="002D35C5" w:rsidRDefault="002D35C5"/>
    <w:sectPr w:rsidR="002D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3B" w:rsidRDefault="000D433B" w:rsidP="0046322C">
      <w:pPr>
        <w:spacing w:after="0" w:line="240" w:lineRule="auto"/>
      </w:pPr>
      <w:r>
        <w:separator/>
      </w:r>
    </w:p>
  </w:endnote>
  <w:endnote w:type="continuationSeparator" w:id="0">
    <w:p w:rsidR="000D433B" w:rsidRDefault="000D433B" w:rsidP="0046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45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3B" w:rsidRDefault="000D433B" w:rsidP="0046322C">
      <w:pPr>
        <w:spacing w:after="0" w:line="240" w:lineRule="auto"/>
      </w:pPr>
      <w:r>
        <w:separator/>
      </w:r>
    </w:p>
  </w:footnote>
  <w:footnote w:type="continuationSeparator" w:id="0">
    <w:p w:rsidR="000D433B" w:rsidRDefault="000D433B" w:rsidP="0046322C">
      <w:pPr>
        <w:spacing w:after="0" w:line="240" w:lineRule="auto"/>
      </w:pPr>
      <w:r>
        <w:continuationSeparator/>
      </w:r>
    </w:p>
  </w:footnote>
  <w:footnote w:id="1">
    <w:p w:rsidR="00730B69" w:rsidRDefault="00730B69">
      <w:pPr>
        <w:pStyle w:val="FootnoteText"/>
      </w:pPr>
      <w:r>
        <w:rPr>
          <w:rStyle w:val="FootnoteReference"/>
        </w:rPr>
        <w:footnoteRef/>
      </w:r>
      <w:r>
        <w:t xml:space="preserve"> Link to modification: </w:t>
      </w:r>
      <w:hyperlink r:id="rId1" w:history="1">
        <w:r w:rsidRPr="00730B69">
          <w:rPr>
            <w:rStyle w:val="Hyperlink"/>
          </w:rPr>
          <w:t>http://www.gasgovernance.co.uk/0597</w:t>
        </w:r>
      </w:hyperlink>
    </w:p>
  </w:footnote>
  <w:footnote w:id="2">
    <w:p w:rsidR="00507357" w:rsidRDefault="00507357">
      <w:pPr>
        <w:pStyle w:val="FootnoteText"/>
      </w:pPr>
      <w:r>
        <w:rPr>
          <w:rStyle w:val="FootnoteReference"/>
        </w:rPr>
        <w:footnoteRef/>
      </w:r>
      <w:r>
        <w:t xml:space="preserve"> Further details can be found on National Grid’s website </w:t>
      </w:r>
      <w:hyperlink r:id="rId2" w:history="1">
        <w:r w:rsidRPr="00507357">
          <w:rPr>
            <w:rStyle w:val="Hyperlink"/>
          </w:rPr>
          <w:t>http://www2.nationalgrid.com/UK/Industry-information/Gas-capacity-methodologies/Current-Consultations/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E48"/>
    <w:multiLevelType w:val="hybridMultilevel"/>
    <w:tmpl w:val="6066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24BB9"/>
    <w:multiLevelType w:val="hybridMultilevel"/>
    <w:tmpl w:val="6E2644B8"/>
    <w:lvl w:ilvl="0" w:tplc="4A889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A"/>
    <w:rsid w:val="000540AE"/>
    <w:rsid w:val="0007220C"/>
    <w:rsid w:val="000D433B"/>
    <w:rsid w:val="000E106E"/>
    <w:rsid w:val="00134E30"/>
    <w:rsid w:val="001523EC"/>
    <w:rsid w:val="0016787A"/>
    <w:rsid w:val="0022374E"/>
    <w:rsid w:val="00231417"/>
    <w:rsid w:val="002D2AEA"/>
    <w:rsid w:val="002D35C5"/>
    <w:rsid w:val="002F57CB"/>
    <w:rsid w:val="0033133F"/>
    <w:rsid w:val="003575C5"/>
    <w:rsid w:val="00365ACB"/>
    <w:rsid w:val="003C492D"/>
    <w:rsid w:val="003C6517"/>
    <w:rsid w:val="003F1E5E"/>
    <w:rsid w:val="0043511B"/>
    <w:rsid w:val="00451447"/>
    <w:rsid w:val="0046322C"/>
    <w:rsid w:val="0047108C"/>
    <w:rsid w:val="004A09D3"/>
    <w:rsid w:val="004B7B5A"/>
    <w:rsid w:val="00507357"/>
    <w:rsid w:val="00557C8A"/>
    <w:rsid w:val="00575EE0"/>
    <w:rsid w:val="005D63CC"/>
    <w:rsid w:val="005E66F2"/>
    <w:rsid w:val="005F5B6C"/>
    <w:rsid w:val="0060348F"/>
    <w:rsid w:val="00615A5D"/>
    <w:rsid w:val="00617B0C"/>
    <w:rsid w:val="00620CFC"/>
    <w:rsid w:val="00651A96"/>
    <w:rsid w:val="006606A0"/>
    <w:rsid w:val="00726225"/>
    <w:rsid w:val="00730B69"/>
    <w:rsid w:val="00790B13"/>
    <w:rsid w:val="00795C06"/>
    <w:rsid w:val="007A14DD"/>
    <w:rsid w:val="007D20FF"/>
    <w:rsid w:val="007F0AFE"/>
    <w:rsid w:val="00826279"/>
    <w:rsid w:val="00835E7B"/>
    <w:rsid w:val="00836F52"/>
    <w:rsid w:val="0085322D"/>
    <w:rsid w:val="00933715"/>
    <w:rsid w:val="00951833"/>
    <w:rsid w:val="009B6A4E"/>
    <w:rsid w:val="009B6BAC"/>
    <w:rsid w:val="00A20F20"/>
    <w:rsid w:val="00A7308A"/>
    <w:rsid w:val="00AC0F6E"/>
    <w:rsid w:val="00AF3AEA"/>
    <w:rsid w:val="00AF69B9"/>
    <w:rsid w:val="00B86BE2"/>
    <w:rsid w:val="00BC2668"/>
    <w:rsid w:val="00BF436D"/>
    <w:rsid w:val="00C20CEA"/>
    <w:rsid w:val="00C33CDA"/>
    <w:rsid w:val="00C71C38"/>
    <w:rsid w:val="00C93FEA"/>
    <w:rsid w:val="00CB457D"/>
    <w:rsid w:val="00D062E1"/>
    <w:rsid w:val="00D4185B"/>
    <w:rsid w:val="00D53AC7"/>
    <w:rsid w:val="00D7625E"/>
    <w:rsid w:val="00DA19DF"/>
    <w:rsid w:val="00DA2F85"/>
    <w:rsid w:val="00DB24BF"/>
    <w:rsid w:val="00DC315B"/>
    <w:rsid w:val="00DE4312"/>
    <w:rsid w:val="00E216E0"/>
    <w:rsid w:val="00E41521"/>
    <w:rsid w:val="00E84B34"/>
    <w:rsid w:val="00E91023"/>
    <w:rsid w:val="00EA5B9D"/>
    <w:rsid w:val="00EB314C"/>
    <w:rsid w:val="00EE55E5"/>
    <w:rsid w:val="00EF2917"/>
    <w:rsid w:val="00F13DAC"/>
    <w:rsid w:val="00F213B3"/>
    <w:rsid w:val="00F4075B"/>
    <w:rsid w:val="00F40E76"/>
    <w:rsid w:val="00FB1F9F"/>
    <w:rsid w:val="00FD4BF2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A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AEA"/>
    <w:pPr>
      <w:ind w:left="720"/>
      <w:contextualSpacing/>
    </w:pPr>
  </w:style>
  <w:style w:type="paragraph" w:styleId="Header">
    <w:name w:val="header"/>
    <w:basedOn w:val="Normal"/>
    <w:link w:val="HeaderChar"/>
    <w:rsid w:val="007D20F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7D20FF"/>
    <w:rPr>
      <w:rFonts w:ascii="Calibri" w:eastAsia="Calibri" w:hAnsi="Calibri" w:cs="Times New Roman"/>
      <w:sz w:val="20"/>
      <w:szCs w:val="20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D20F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F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4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2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A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AEA"/>
    <w:pPr>
      <w:ind w:left="720"/>
      <w:contextualSpacing/>
    </w:pPr>
  </w:style>
  <w:style w:type="paragraph" w:styleId="Header">
    <w:name w:val="header"/>
    <w:basedOn w:val="Normal"/>
    <w:link w:val="HeaderChar"/>
    <w:rsid w:val="007D20F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7D20FF"/>
    <w:rPr>
      <w:rFonts w:ascii="Calibri" w:eastAsia="Calibri" w:hAnsi="Calibri" w:cs="Times New Roman"/>
      <w:sz w:val="20"/>
      <w:szCs w:val="20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D20F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F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4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x.TransmissionCapacityandCharging@nationalgr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nationalgrid.com/UK/Industry-information/Gas-capacity-methodologies/Current-Consultations/" TargetMode="External"/><Relationship Id="rId1" Type="http://schemas.openxmlformats.org/officeDocument/2006/relationships/hyperlink" Target="http://www.gasgovernance.co.uk/0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AE0B-C6CA-423B-AC98-F3AEADD1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cp:lastPrinted>2017-03-30T09:00:00Z</cp:lastPrinted>
  <dcterms:created xsi:type="dcterms:W3CDTF">2017-05-11T10:37:00Z</dcterms:created>
  <dcterms:modified xsi:type="dcterms:W3CDTF">2017-05-11T10:37:00Z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